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Pr="001D094C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Pr="007822F3" w:rsidRDefault="000B3EFB" w:rsidP="00F73B00">
      <w:pPr>
        <w:jc w:val="center"/>
        <w:rPr>
          <w:rFonts w:ascii="Arial" w:hAnsi="Arial" w:cs="Arial"/>
          <w:sz w:val="18"/>
          <w:szCs w:val="18"/>
        </w:rPr>
      </w:pPr>
      <w:r w:rsidRPr="007822F3">
        <w:rPr>
          <w:noProof/>
        </w:rPr>
        <w:drawing>
          <wp:inline distT="0" distB="0" distL="0" distR="0" wp14:anchorId="339FA871" wp14:editId="0F0DC401">
            <wp:extent cx="6400800" cy="829310"/>
            <wp:effectExtent l="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D8B" w:rsidRPr="007822F3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Pr="007822F3" w:rsidRDefault="00767D8B" w:rsidP="00767D8B">
      <w:pPr>
        <w:rPr>
          <w:rFonts w:ascii="Arial" w:hAnsi="Arial" w:cs="Arial"/>
          <w:sz w:val="18"/>
          <w:szCs w:val="18"/>
        </w:rPr>
      </w:pPr>
    </w:p>
    <w:p w:rsidR="00CA365A" w:rsidRPr="007822F3" w:rsidRDefault="00C9782A" w:rsidP="00CA365A">
      <w:pPr>
        <w:spacing w:line="276" w:lineRule="auto"/>
        <w:jc w:val="right"/>
        <w:rPr>
          <w:rFonts w:ascii="Arial" w:hAnsi="Arial" w:cs="Arial"/>
          <w:sz w:val="17"/>
          <w:szCs w:val="21"/>
        </w:rPr>
      </w:pPr>
      <w:r w:rsidRPr="007822F3">
        <w:rPr>
          <w:rFonts w:ascii="Arial" w:hAnsi="Arial" w:cs="Arial"/>
          <w:sz w:val="18"/>
          <w:szCs w:val="18"/>
        </w:rPr>
        <w:t xml:space="preserve">Załącznik nr 11 </w:t>
      </w:r>
      <w:r w:rsidR="00767D8B" w:rsidRPr="007822F3">
        <w:rPr>
          <w:rFonts w:ascii="Arial" w:hAnsi="Arial" w:cs="Arial"/>
          <w:sz w:val="18"/>
          <w:szCs w:val="18"/>
        </w:rPr>
        <w:t xml:space="preserve">do Regulaminu </w:t>
      </w:r>
      <w:r w:rsidR="00767D8B" w:rsidRPr="007822F3">
        <w:rPr>
          <w:rFonts w:ascii="Arial" w:hAnsi="Arial" w:cs="Arial"/>
          <w:sz w:val="18"/>
          <w:szCs w:val="18"/>
        </w:rPr>
        <w:br/>
        <w:t xml:space="preserve">konkursu nr </w:t>
      </w:r>
      <w:r w:rsidR="00B53C03" w:rsidRPr="007822F3">
        <w:rPr>
          <w:rFonts w:ascii="Arial" w:hAnsi="Arial" w:cs="Arial"/>
          <w:sz w:val="17"/>
          <w:szCs w:val="21"/>
        </w:rPr>
        <w:t>RPWM.01.04.03-IP.03-28-001/17</w:t>
      </w:r>
      <w:r w:rsidR="00CA365A" w:rsidRPr="007822F3">
        <w:rPr>
          <w:rFonts w:ascii="Arial" w:hAnsi="Arial" w:cs="Arial"/>
          <w:sz w:val="17"/>
          <w:szCs w:val="21"/>
        </w:rPr>
        <w:t xml:space="preserve"> </w:t>
      </w:r>
    </w:p>
    <w:p w:rsidR="00767D8B" w:rsidRPr="007822F3" w:rsidRDefault="00CA365A" w:rsidP="00CA365A">
      <w:pPr>
        <w:jc w:val="right"/>
        <w:rPr>
          <w:rFonts w:ascii="Arial" w:hAnsi="Arial" w:cs="Arial"/>
          <w:sz w:val="18"/>
          <w:szCs w:val="18"/>
        </w:rPr>
      </w:pPr>
      <w:r w:rsidRPr="007822F3">
        <w:rPr>
          <w:rFonts w:ascii="Arial" w:hAnsi="Arial" w:cs="Arial"/>
          <w:sz w:val="18"/>
          <w:szCs w:val="18"/>
        </w:rPr>
        <w:t xml:space="preserve">z </w:t>
      </w:r>
      <w:r w:rsidR="00B53C03" w:rsidRPr="007822F3">
        <w:rPr>
          <w:rFonts w:ascii="Arial" w:hAnsi="Arial" w:cs="Arial"/>
          <w:sz w:val="18"/>
          <w:szCs w:val="18"/>
        </w:rPr>
        <w:t>28.02.2017</w:t>
      </w:r>
      <w:r w:rsidRPr="007822F3">
        <w:rPr>
          <w:rFonts w:ascii="Arial" w:hAnsi="Arial" w:cs="Arial"/>
          <w:sz w:val="18"/>
          <w:szCs w:val="18"/>
        </w:rPr>
        <w:t xml:space="preserve"> r.</w:t>
      </w:r>
    </w:p>
    <w:p w:rsidR="00767D8B" w:rsidRPr="007822F3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7822F3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7822F3">
        <w:rPr>
          <w:rFonts w:ascii="Arial" w:hAnsi="Arial" w:cs="Arial"/>
          <w:b/>
        </w:rPr>
        <w:t xml:space="preserve">Wzór Karty oceny kryteriów merytorycznych premiujących wyboru projektów w ramach Działania </w:t>
      </w:r>
      <w:r w:rsidR="005301ED" w:rsidRPr="007822F3">
        <w:rPr>
          <w:rFonts w:ascii="Arial" w:hAnsi="Arial" w:cs="Arial"/>
          <w:b/>
        </w:rPr>
        <w:t>1.4  Nowe modele biznesowe i ekspansja Poddziałania 1.4.3 Technologie informacyjno-komunikacyjne w działalności MŚP</w:t>
      </w:r>
      <w:r w:rsidRPr="007822F3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F73B00" w:rsidRPr="007822F3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Pr="007822F3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7822F3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7822F3">
        <w:rPr>
          <w:rFonts w:ascii="Arial" w:hAnsi="Arial" w:cs="Arial"/>
        </w:rPr>
        <w:t>KARTA OCENY KRYTERIÓW MERYTORYCZNYCH PREMIUJĄCYCH WYBORU PROJEKTÓW</w:t>
      </w:r>
    </w:p>
    <w:p w:rsidR="004D71C9" w:rsidRPr="007822F3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Pr="007822F3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7822F3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822F3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7822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AF31CB" w:rsidRPr="007822F3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822F3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7822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………………………………………………………………………………………………………...…………………………………………</w:t>
      </w:r>
    </w:p>
    <w:p w:rsidR="00AF31CB" w:rsidRPr="007822F3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822F3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7822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AF31CB" w:rsidRPr="007822F3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7822F3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7822F3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7822F3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7822F3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7822F3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Pr="007822F3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Pr="007822F3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Pr="007822F3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Pr="007822F3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Pr="007822F3" w:rsidRDefault="00767D8B" w:rsidP="00AF31CB">
      <w:pPr>
        <w:rPr>
          <w:rFonts w:ascii="Arial" w:hAnsi="Arial" w:cs="Arial"/>
          <w:bCs/>
          <w:sz w:val="22"/>
          <w:szCs w:val="22"/>
        </w:rPr>
      </w:pPr>
      <w:bookmarkStart w:id="4" w:name="_GoBack"/>
      <w:bookmarkEnd w:id="4"/>
    </w:p>
    <w:p w:rsidR="0036158B" w:rsidRPr="007822F3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C004C8" w:rsidRPr="007822F3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376"/>
        <w:gridCol w:w="4292"/>
        <w:gridCol w:w="1701"/>
        <w:gridCol w:w="5809"/>
      </w:tblGrid>
      <w:tr w:rsidR="001D094C" w:rsidRPr="007822F3" w:rsidTr="00224298">
        <w:trPr>
          <w:trHeight w:val="555"/>
        </w:trPr>
        <w:tc>
          <w:tcPr>
            <w:tcW w:w="14848" w:type="dxa"/>
            <w:gridSpan w:val="5"/>
            <w:shd w:val="clear" w:color="auto" w:fill="D9D9D9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b/>
                <w:sz w:val="21"/>
                <w:szCs w:val="21"/>
              </w:rPr>
              <w:t>KRYTERIA MERYTORYCZNE PREMIUJĄCE</w:t>
            </w:r>
          </w:p>
        </w:tc>
      </w:tr>
      <w:tr w:rsidR="001D094C" w:rsidRPr="007822F3" w:rsidTr="00224298">
        <w:trPr>
          <w:trHeight w:val="70"/>
        </w:trPr>
        <w:tc>
          <w:tcPr>
            <w:tcW w:w="670" w:type="dxa"/>
            <w:vMerge w:val="restart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2376" w:type="dxa"/>
            <w:vMerge w:val="restart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Zgodność projektu z zasadami horyzontalnymi wynikającymi z RPO </w:t>
            </w:r>
            <w:proofErr w:type="spellStart"/>
            <w:r w:rsidRPr="007822F3">
              <w:rPr>
                <w:rFonts w:ascii="Arial" w:hAnsi="Arial" w:cs="Arial"/>
                <w:sz w:val="21"/>
                <w:szCs w:val="21"/>
              </w:rPr>
              <w:t>WiM</w:t>
            </w:r>
            <w:proofErr w:type="spellEnd"/>
            <w:r w:rsidRPr="007822F3">
              <w:rPr>
                <w:rFonts w:ascii="Arial" w:hAnsi="Arial" w:cs="Arial"/>
                <w:sz w:val="21"/>
                <w:szCs w:val="21"/>
              </w:rPr>
              <w:t xml:space="preserve"> 2014-2020</w:t>
            </w: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 xml:space="preserve">kryterium odprowadzania podatków na terenie województwa warmińsko-mazurskiego w obszarze realizacji projektu  </w:t>
            </w:r>
          </w:p>
          <w:p w:rsidR="00127016" w:rsidRPr="007822F3" w:rsidRDefault="00127016" w:rsidP="00224298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rPr>
          <w:trHeight w:val="70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Projekt może otrzymać od 0 do 3 pkt: 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0 pkt – Wnioskodawca i/lub partnerzy (jeśli dotyczy) nie odprowadza lub nie będzie odprowadzać żadnego z powyższych podatków w województwie warmińsko-mazurskim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1 pkt –Wnioskodawca i/lub partnerzy (jeśli dotyczy) odprowadza lub będzie odprowadzać w województwie warmińsko-mazurskim jeden podatek z listy wskazanej w 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 wyboru  projektów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2 pkt -  Wnioskodawca i/lub partnerzy (jeśli dotyczy) odprowadza lub będzie odprowadzać w województwie warmińsko-mazurskim dwa podatki z listy wskazanej w 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wyboru  projektów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3 pkt - Wnioskodawca i/lub partnerzy (jeśli dotyczy) odprowadza lub będzie odprowadzać w województwie warmińsko-mazurskim trzy lub więcej podatków z listy wskazanej w 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 wyboru  projektów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eastAsia="Calibri" w:hAnsi="Arial" w:cs="Arial"/>
                <w:sz w:val="21"/>
                <w:szCs w:val="21"/>
                <w:lang w:eastAsia="en-US"/>
              </w:rPr>
              <w:t>Punkty nie podlegają sumowaniu.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>kryterium komunikacji z interesariuszami</w:t>
            </w:r>
          </w:p>
        </w:tc>
      </w:tr>
      <w:tr w:rsidR="001D094C" w:rsidRPr="007822F3" w:rsidTr="00224298">
        <w:trPr>
          <w:trHeight w:val="1529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0 pkt – Wnioskodawca i partnerzy (jeśli dotyczy) nie zapewnili komunikacji z interesariuszami projektu w sposób opisany w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 xml:space="preserve">Karty  z  definicjami  kryteriów  merytorycznych  punktowych  i  premiujących  wyboru  projektów </w:t>
            </w:r>
          </w:p>
          <w:p w:rsidR="00127016" w:rsidRPr="007822F3" w:rsidRDefault="00127016" w:rsidP="00224298">
            <w:pPr>
              <w:spacing w:line="276" w:lineRule="auto"/>
              <w:ind w:left="356" w:hanging="283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1 pkt – Wnioskodawca i partnerzy (jeśli dotyczy) zapewnili komunikacji z interesariuszami projektu w opisany w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 wyboru  projektów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>efektywne i racjonalne wykorzystywanie zasobów naturalnych oraz stosowanie rozwiązań przyjaznych środowisku</w:t>
            </w:r>
          </w:p>
        </w:tc>
      </w:tr>
      <w:tr w:rsidR="001D094C" w:rsidRPr="007822F3" w:rsidTr="00224298">
        <w:trPr>
          <w:trHeight w:val="3065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 xml:space="preserve">kryterium stosowania klauzul społecznych w zamówieniach </w:t>
            </w:r>
          </w:p>
        </w:tc>
      </w:tr>
      <w:tr w:rsidR="001D094C" w:rsidRPr="007822F3" w:rsidTr="00224298">
        <w:trPr>
          <w:trHeight w:val="1245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1 pkt – w zamówieniach realizowanych/ planowanych do realizacji w ramach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lastRenderedPageBreak/>
              <w:t>projektu zobowiązano się do stosowania kryteriów odnoszących się do kwestii społecznych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rPr>
          <w:trHeight w:val="395"/>
        </w:trPr>
        <w:tc>
          <w:tcPr>
            <w:tcW w:w="670" w:type="dxa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2376" w:type="dxa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Komplementarność projektu</w:t>
            </w: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ind w:left="5" w:hanging="5"/>
              <w:rPr>
                <w:rFonts w:ascii="Arial" w:eastAsia="Calibri" w:hAnsi="Arial" w:cs="Arial"/>
                <w:bCs/>
                <w:sz w:val="21"/>
                <w:szCs w:val="21"/>
                <w:lang w:eastAsia="en-US"/>
              </w:rPr>
            </w:pPr>
            <w:r w:rsidRPr="007822F3">
              <w:rPr>
                <w:rFonts w:ascii="Arial" w:eastAsia="Calibri" w:hAnsi="Arial" w:cs="Arial"/>
                <w:bCs/>
                <w:sz w:val="21"/>
                <w:szCs w:val="21"/>
                <w:lang w:eastAsia="en-US"/>
              </w:rPr>
              <w:t>Projekt w tym kryterium może otrzymać od 0 do 6 pkt.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projekt jest realizowany w partnerstwie lub innej formie współpracy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2 pkt –   projekt jest końcowym elementem wypełniającym ostatnią lukę w istniejącej infrastrukturze na danym obszarze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projekt bezpośrednio wykorzystuje produkty bądź rezultaty innego projektu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 projekt pełni łącznie z innymi projektami tę samą funkcję, dzięki czemu w pełni wykorzystywane są możliwości istniejącej infrastruktury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projekt łącznie z innymi projektami jest wykorzystywany przez tych samych użytkowników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(punkty sumują się do 6 pkt).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rPr>
          <w:trHeight w:val="622"/>
        </w:trPr>
        <w:tc>
          <w:tcPr>
            <w:tcW w:w="670" w:type="dxa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376" w:type="dxa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Doświadczenie w realizacji podobnych projektów</w:t>
            </w: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 (maksymalnie):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0 pkt –  Wnioskodawca i partnerzy (jeśli dotyczy) nie posiadają doświadczenia w realizacji podobnych projektów lub przedsięwzięć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rPr>
          <w:trHeight w:val="3055"/>
        </w:trPr>
        <w:tc>
          <w:tcPr>
            <w:tcW w:w="670" w:type="dxa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lastRenderedPageBreak/>
              <w:t>4.</w:t>
            </w:r>
          </w:p>
        </w:tc>
        <w:tc>
          <w:tcPr>
            <w:tcW w:w="2376" w:type="dxa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Innowacyjność technologii i implementowanych rozwiązań</w:t>
            </w: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0,3,4 lub 5 punktów (maksymalnie):</w:t>
            </w:r>
          </w:p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Ocenie podlega poziom innowacji produktowej/ procesowej powstałej w wyniku realizacji projektu (oceniane na podstawie załączonej do wniosku o dofinansowanie opinii o innowacyjności).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3 pkt –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powstanie innowacja produktowa / procesowa o skali co najmniej regionalnej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4 pkt –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powstanie innowacja produktowa / procesowa o skali co najmniej krajowej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5 pkt –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powstanie innowacja produktowa / procesowa o skali co najmniej międzynarodowej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eastAsia="Calibri" w:hAnsi="Arial" w:cs="Arial"/>
                <w:sz w:val="21"/>
                <w:szCs w:val="21"/>
                <w:lang w:eastAsia="en-US"/>
              </w:rPr>
              <w:t>Punkty nie podlegają sumowaniu.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c>
          <w:tcPr>
            <w:tcW w:w="7338" w:type="dxa"/>
            <w:gridSpan w:val="3"/>
            <w:tcBorders>
              <w:bottom w:val="single" w:sz="4" w:space="0" w:color="auto"/>
            </w:tcBorders>
            <w:vAlign w:val="center"/>
          </w:tcPr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b/>
                <w:sz w:val="21"/>
                <w:szCs w:val="21"/>
              </w:rPr>
              <w:t>SUMA:</w:t>
            </w: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tcBorders>
              <w:bottom w:val="single" w:sz="4" w:space="0" w:color="auto"/>
            </w:tcBorders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224298">
        <w:tc>
          <w:tcPr>
            <w:tcW w:w="14848" w:type="dxa"/>
            <w:gridSpan w:val="5"/>
            <w:shd w:val="clear" w:color="auto" w:fill="BFBFBF"/>
          </w:tcPr>
          <w:p w:rsidR="00127016" w:rsidRPr="007822F3" w:rsidRDefault="00127016" w:rsidP="00224298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b/>
                <w:sz w:val="21"/>
                <w:szCs w:val="21"/>
              </w:rPr>
              <w:t>Osoba sprawdzająca:</w:t>
            </w:r>
          </w:p>
          <w:p w:rsidR="00127016" w:rsidRPr="007822F3" w:rsidRDefault="00127016" w:rsidP="00224298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Data:</w:t>
            </w:r>
          </w:p>
          <w:p w:rsidR="00127016" w:rsidRPr="007822F3" w:rsidRDefault="00127016" w:rsidP="00224298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Podpis:</w:t>
            </w:r>
          </w:p>
        </w:tc>
      </w:tr>
    </w:tbl>
    <w:p w:rsidR="00127016" w:rsidRPr="007822F3" w:rsidRDefault="00127016" w:rsidP="0012701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148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376"/>
        <w:gridCol w:w="4292"/>
        <w:gridCol w:w="1701"/>
        <w:gridCol w:w="5809"/>
      </w:tblGrid>
      <w:tr w:rsidR="001D094C" w:rsidRPr="007822F3" w:rsidTr="00127016">
        <w:trPr>
          <w:trHeight w:val="555"/>
        </w:trPr>
        <w:tc>
          <w:tcPr>
            <w:tcW w:w="14848" w:type="dxa"/>
            <w:gridSpan w:val="5"/>
            <w:shd w:val="clear" w:color="auto" w:fill="D9D9D9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b/>
                <w:sz w:val="21"/>
                <w:szCs w:val="21"/>
              </w:rPr>
              <w:t>KRYTERIA MERYTORYCZNE PREMIUJĄCE</w:t>
            </w:r>
          </w:p>
        </w:tc>
      </w:tr>
      <w:tr w:rsidR="001D094C" w:rsidRPr="007822F3" w:rsidTr="00127016">
        <w:trPr>
          <w:trHeight w:val="70"/>
        </w:trPr>
        <w:tc>
          <w:tcPr>
            <w:tcW w:w="670" w:type="dxa"/>
            <w:vMerge w:val="restart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2376" w:type="dxa"/>
            <w:vMerge w:val="restart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Zgodność projektu z zasadami horyzontalnymi wynikającymi z RPO </w:t>
            </w:r>
            <w:proofErr w:type="spellStart"/>
            <w:r w:rsidRPr="007822F3">
              <w:rPr>
                <w:rFonts w:ascii="Arial" w:hAnsi="Arial" w:cs="Arial"/>
                <w:sz w:val="21"/>
                <w:szCs w:val="21"/>
              </w:rPr>
              <w:t>WiM</w:t>
            </w:r>
            <w:proofErr w:type="spellEnd"/>
            <w:r w:rsidRPr="007822F3">
              <w:rPr>
                <w:rFonts w:ascii="Arial" w:hAnsi="Arial" w:cs="Arial"/>
                <w:sz w:val="21"/>
                <w:szCs w:val="21"/>
              </w:rPr>
              <w:t xml:space="preserve"> 2014-2020</w:t>
            </w: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 xml:space="preserve">kryterium odprowadzania podatków na terenie województwa warmińsko-mazurskiego w obszarze realizacji projektu  </w:t>
            </w:r>
          </w:p>
          <w:p w:rsidR="00127016" w:rsidRPr="007822F3" w:rsidRDefault="00127016" w:rsidP="00224298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rPr>
          <w:trHeight w:val="70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Projekt może otrzymać od 0 do 3 pkt: 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0 pkt – Wnioskodawca i/lub partnerzy (jeśli dotyczy) nie odprowadza lub nie będzie odprowadzać żadnego z powyższych podatków w województwie warmińsko-mazurskim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1 pkt –Wnioskodawca i/lub partnerzy (jeśli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lastRenderedPageBreak/>
              <w:t xml:space="preserve">dotyczy) odprowadza lub będzie odprowadzać w województwie warmińsko-mazurskim jeden podatek z listy wskazanej w 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 wyboru  projektów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2 pkt -  Wnioskodawca i/lub partnerzy (jeśli dotyczy) odprowadza lub będzie odprowadzać w województwie warmińsko-mazurskim dwa podatki z listy wskazanej w 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wyboru  projektów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3 pkt - Wnioskodawca i/lub partnerzy (jeśli dotyczy) odprowadza lub będzie odprowadzać w województwie warmińsko-mazurskim trzy lub więcej podatków z listy wskazanej w 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 wyboru  projektów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eastAsia="Calibri" w:hAnsi="Arial" w:cs="Arial"/>
                <w:sz w:val="21"/>
                <w:szCs w:val="21"/>
                <w:lang w:eastAsia="en-US"/>
              </w:rPr>
              <w:t>Punkty nie podlegają sumowaniu.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>kryterium komunikacji z interesariuszami</w:t>
            </w:r>
          </w:p>
        </w:tc>
      </w:tr>
      <w:tr w:rsidR="001D094C" w:rsidRPr="007822F3" w:rsidTr="00127016">
        <w:trPr>
          <w:trHeight w:val="1529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0 pkt – Wnioskodawca i partnerzy (jeśli dotyczy) nie zapewnili komunikacji z interesariuszami projektu w sposób opisany w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 xml:space="preserve">Karty  z  definicjami  kryteriów  merytorycznych  punktowych  i  premiujących  wyboru  projektów </w:t>
            </w:r>
          </w:p>
          <w:p w:rsidR="00127016" w:rsidRPr="007822F3" w:rsidRDefault="00127016" w:rsidP="00224298">
            <w:pPr>
              <w:spacing w:line="276" w:lineRule="auto"/>
              <w:ind w:left="356" w:hanging="283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 xml:space="preserve">1 pkt – Wnioskodawca i partnerzy (jeśli dotyczy) zapewnili komunikacji z interesariuszami projektu w opisany w ramach  </w:t>
            </w:r>
            <w:r w:rsidRPr="007822F3">
              <w:rPr>
                <w:rFonts w:ascii="Arial" w:hAnsi="Arial" w:cs="Arial"/>
                <w:sz w:val="21"/>
                <w:szCs w:val="21"/>
              </w:rPr>
              <w:t>Karty  z  definicjami  kryteriów  merytorycznych  punktowych  i  premiujących  wyboru  projektów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>efektywne i racjonalne wykorzystywanie zasobów naturalnych oraz stosowanie rozwiązań przyjaznych środowisku</w:t>
            </w:r>
          </w:p>
        </w:tc>
      </w:tr>
      <w:tr w:rsidR="001D094C" w:rsidRPr="007822F3" w:rsidTr="00127016">
        <w:trPr>
          <w:trHeight w:val="3065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02" w:type="dxa"/>
            <w:gridSpan w:val="3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7822F3">
              <w:rPr>
                <w:rFonts w:ascii="Arial" w:hAnsi="Arial" w:cs="Arial"/>
                <w:b/>
                <w:sz w:val="21"/>
                <w:szCs w:val="21"/>
              </w:rPr>
              <w:t xml:space="preserve">kryterium stosowania klauzul społecznych w zamówieniach </w:t>
            </w:r>
          </w:p>
        </w:tc>
      </w:tr>
      <w:tr w:rsidR="001D094C" w:rsidRPr="007822F3" w:rsidTr="00127016">
        <w:trPr>
          <w:trHeight w:val="1245"/>
        </w:trPr>
        <w:tc>
          <w:tcPr>
            <w:tcW w:w="670" w:type="dxa"/>
            <w:vMerge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76" w:type="dxa"/>
            <w:vMerge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rPr>
          <w:trHeight w:val="395"/>
        </w:trPr>
        <w:tc>
          <w:tcPr>
            <w:tcW w:w="670" w:type="dxa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2376" w:type="dxa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Komplementarność projektu</w:t>
            </w: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ind w:left="5" w:hanging="5"/>
              <w:rPr>
                <w:rFonts w:ascii="Arial" w:eastAsia="Calibri" w:hAnsi="Arial" w:cs="Arial"/>
                <w:bCs/>
                <w:sz w:val="21"/>
                <w:szCs w:val="21"/>
                <w:lang w:eastAsia="en-US"/>
              </w:rPr>
            </w:pPr>
            <w:r w:rsidRPr="007822F3">
              <w:rPr>
                <w:rFonts w:ascii="Arial" w:eastAsia="Calibri" w:hAnsi="Arial" w:cs="Arial"/>
                <w:bCs/>
                <w:sz w:val="21"/>
                <w:szCs w:val="21"/>
                <w:lang w:eastAsia="en-US"/>
              </w:rPr>
              <w:t>Projekt w tym kryterium może otrzymać od 0 do 6 pkt.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projekt jest realizowany w partnerstwie lub innej formie współpracy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2 pkt –   projekt jest końcowym elementem wypełniającym ostatnią lukę w istniejącej infrastrukturze na danym obszarze</w:t>
            </w:r>
          </w:p>
          <w:p w:rsidR="00127016" w:rsidRPr="007822F3" w:rsidRDefault="00127016" w:rsidP="00224298">
            <w:pPr>
              <w:spacing w:line="276" w:lineRule="auto"/>
              <w:ind w:left="356" w:hanging="356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projekt bezpośrednio wykorzystuje produkty bądź rezultaty innego projektu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lastRenderedPageBreak/>
              <w:t>1 pkt –  projekt pełni łącznie z innymi projektami tę samą funkcję, dzięki czemu w pełni wykorzystywane są możliwości istniejącej infrastruktury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projekt łącznie z innymi projektami jest wykorzystywany przez tych samych użytkowników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(punkty sumują się do 6 pkt).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rPr>
          <w:trHeight w:val="622"/>
        </w:trPr>
        <w:tc>
          <w:tcPr>
            <w:tcW w:w="670" w:type="dxa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lastRenderedPageBreak/>
              <w:t>3.</w:t>
            </w:r>
          </w:p>
        </w:tc>
        <w:tc>
          <w:tcPr>
            <w:tcW w:w="2376" w:type="dxa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Doświadczenie w realizacji podobnych projektów</w:t>
            </w: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 lub 1 punkt (maksymalnie):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0 pkt –  Wnioskodawca i partnerzy (jeśli dotyczy) nie posiadają doświadczenia w realizacji podobnych projektów lub przedsięwzięć</w:t>
            </w:r>
          </w:p>
          <w:p w:rsidR="00127016" w:rsidRPr="007822F3" w:rsidRDefault="00127016" w:rsidP="00224298">
            <w:pPr>
              <w:spacing w:line="276" w:lineRule="auto"/>
              <w:ind w:left="215" w:hanging="21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1 pkt –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rPr>
          <w:trHeight w:val="3055"/>
        </w:trPr>
        <w:tc>
          <w:tcPr>
            <w:tcW w:w="670" w:type="dxa"/>
            <w:vAlign w:val="center"/>
          </w:tcPr>
          <w:p w:rsidR="00127016" w:rsidRPr="007822F3" w:rsidRDefault="00127016" w:rsidP="00224298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2376" w:type="dxa"/>
            <w:vAlign w:val="center"/>
          </w:tcPr>
          <w:p w:rsidR="00127016" w:rsidRPr="007822F3" w:rsidRDefault="00127016" w:rsidP="00224298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Innowacyjność technologii i implementowanych rozwiązań</w:t>
            </w:r>
          </w:p>
        </w:tc>
        <w:tc>
          <w:tcPr>
            <w:tcW w:w="4292" w:type="dxa"/>
            <w:vAlign w:val="center"/>
          </w:tcPr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Projekt może otrzymać 0,3,4 lub 5 punktów (maksymalnie):</w:t>
            </w:r>
          </w:p>
          <w:p w:rsidR="00127016" w:rsidRPr="007822F3" w:rsidRDefault="00127016" w:rsidP="0022429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Ocenie podlega poziom innowacji produktowej/ procesowej powstałej w wyniku realizacji projektu (oceniane na podstawie załączonej do wniosku o dofinansowanie opinii o innowacyjności).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3 pkt –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powstanie innowacja produktowa / procesowa o skali co najmniej regionalnej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4 pkt –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powstanie innowacja produktowa / procesowa o skali co najmniej krajowej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 xml:space="preserve">5 pkt – </w:t>
            </w:r>
            <w:r w:rsidRPr="007822F3">
              <w:rPr>
                <w:rFonts w:ascii="Arial" w:hAnsi="Arial" w:cs="Arial"/>
                <w:sz w:val="21"/>
                <w:szCs w:val="21"/>
                <w:lang w:eastAsia="en-US"/>
              </w:rPr>
              <w:t>powstanie innowacja produktowa / procesowa o skali co najmniej międzynarodowej</w:t>
            </w:r>
          </w:p>
          <w:p w:rsidR="00127016" w:rsidRPr="007822F3" w:rsidRDefault="00127016" w:rsidP="00224298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eastAsia="Calibri" w:hAnsi="Arial" w:cs="Arial"/>
                <w:sz w:val="21"/>
                <w:szCs w:val="21"/>
                <w:lang w:eastAsia="en-US"/>
              </w:rPr>
              <w:t>Punkty nie podlegają sumowaniu.</w:t>
            </w:r>
          </w:p>
        </w:tc>
        <w:tc>
          <w:tcPr>
            <w:tcW w:w="1701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7822F3" w:rsidTr="00127016">
        <w:tc>
          <w:tcPr>
            <w:tcW w:w="7338" w:type="dxa"/>
            <w:gridSpan w:val="3"/>
            <w:tcBorders>
              <w:bottom w:val="single" w:sz="4" w:space="0" w:color="auto"/>
            </w:tcBorders>
            <w:vAlign w:val="center"/>
          </w:tcPr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b/>
                <w:sz w:val="21"/>
                <w:szCs w:val="21"/>
              </w:rPr>
              <w:t>SUMA:</w:t>
            </w: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:rsidR="00127016" w:rsidRPr="007822F3" w:rsidRDefault="00127016" w:rsidP="00224298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09" w:type="dxa"/>
            <w:tcBorders>
              <w:bottom w:val="single" w:sz="4" w:space="0" w:color="auto"/>
            </w:tcBorders>
            <w:vAlign w:val="center"/>
          </w:tcPr>
          <w:p w:rsidR="00127016" w:rsidRPr="007822F3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094C" w:rsidRPr="001D094C" w:rsidTr="00127016">
        <w:tc>
          <w:tcPr>
            <w:tcW w:w="14848" w:type="dxa"/>
            <w:gridSpan w:val="5"/>
            <w:shd w:val="clear" w:color="auto" w:fill="BFBFBF"/>
          </w:tcPr>
          <w:p w:rsidR="00127016" w:rsidRPr="007822F3" w:rsidRDefault="00127016" w:rsidP="00224298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7822F3">
              <w:rPr>
                <w:rFonts w:ascii="Arial" w:hAnsi="Arial" w:cs="Arial"/>
                <w:b/>
                <w:sz w:val="21"/>
                <w:szCs w:val="21"/>
              </w:rPr>
              <w:lastRenderedPageBreak/>
              <w:t>Osoba sprawdzająca:</w:t>
            </w:r>
          </w:p>
          <w:p w:rsidR="00127016" w:rsidRPr="007822F3" w:rsidRDefault="00127016" w:rsidP="00224298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Data:</w:t>
            </w:r>
          </w:p>
          <w:p w:rsidR="00127016" w:rsidRPr="007822F3" w:rsidRDefault="00127016" w:rsidP="00224298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127016" w:rsidRPr="001D094C" w:rsidRDefault="00127016" w:rsidP="00224298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822F3">
              <w:rPr>
                <w:rFonts w:ascii="Arial" w:hAnsi="Arial" w:cs="Arial"/>
                <w:sz w:val="21"/>
                <w:szCs w:val="21"/>
              </w:rPr>
              <w:t>Podpis:</w:t>
            </w:r>
          </w:p>
        </w:tc>
      </w:tr>
    </w:tbl>
    <w:p w:rsidR="00127016" w:rsidRPr="001D094C" w:rsidRDefault="00127016" w:rsidP="0012701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67D8B" w:rsidRPr="001D094C" w:rsidRDefault="00767D8B" w:rsidP="00767D8B"/>
    <w:p w:rsidR="00AF31CB" w:rsidRPr="001D094C" w:rsidRDefault="00AF31CB" w:rsidP="00AF31CB"/>
    <w:sectPr w:rsidR="00AF31CB" w:rsidRPr="001D094C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1B2" w:rsidRDefault="002411B2" w:rsidP="00242867">
      <w:r>
        <w:separator/>
      </w:r>
    </w:p>
  </w:endnote>
  <w:endnote w:type="continuationSeparator" w:id="0">
    <w:p w:rsidR="002411B2" w:rsidRDefault="002411B2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B53C0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7822F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1B2" w:rsidRDefault="002411B2" w:rsidP="00242867">
      <w:r>
        <w:separator/>
      </w:r>
    </w:p>
  </w:footnote>
  <w:footnote w:type="continuationSeparator" w:id="0">
    <w:p w:rsidR="002411B2" w:rsidRDefault="002411B2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4661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3EFB"/>
    <w:rsid w:val="000B4D44"/>
    <w:rsid w:val="000C11AA"/>
    <w:rsid w:val="000C28BC"/>
    <w:rsid w:val="000C30F0"/>
    <w:rsid w:val="000D1888"/>
    <w:rsid w:val="000D4AB4"/>
    <w:rsid w:val="000E4754"/>
    <w:rsid w:val="000E5C88"/>
    <w:rsid w:val="001129BF"/>
    <w:rsid w:val="00114274"/>
    <w:rsid w:val="001267FF"/>
    <w:rsid w:val="00127016"/>
    <w:rsid w:val="001278ED"/>
    <w:rsid w:val="001348D8"/>
    <w:rsid w:val="00144236"/>
    <w:rsid w:val="0015362A"/>
    <w:rsid w:val="00153C95"/>
    <w:rsid w:val="00165C32"/>
    <w:rsid w:val="00165F66"/>
    <w:rsid w:val="0018346B"/>
    <w:rsid w:val="00196190"/>
    <w:rsid w:val="001C4D5B"/>
    <w:rsid w:val="001C6B7C"/>
    <w:rsid w:val="001C6CD3"/>
    <w:rsid w:val="001D094C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11B2"/>
    <w:rsid w:val="00242867"/>
    <w:rsid w:val="0026651D"/>
    <w:rsid w:val="00287C2D"/>
    <w:rsid w:val="00294359"/>
    <w:rsid w:val="002A0AD3"/>
    <w:rsid w:val="002A2A0D"/>
    <w:rsid w:val="002B2F06"/>
    <w:rsid w:val="002B6F2E"/>
    <w:rsid w:val="002C34B4"/>
    <w:rsid w:val="002C5BA0"/>
    <w:rsid w:val="002C7562"/>
    <w:rsid w:val="002D0E46"/>
    <w:rsid w:val="002D40C9"/>
    <w:rsid w:val="002D4764"/>
    <w:rsid w:val="002E2C66"/>
    <w:rsid w:val="003105CD"/>
    <w:rsid w:val="0031545B"/>
    <w:rsid w:val="0032479A"/>
    <w:rsid w:val="00331AE1"/>
    <w:rsid w:val="00334533"/>
    <w:rsid w:val="00336FA1"/>
    <w:rsid w:val="0036158B"/>
    <w:rsid w:val="00365E02"/>
    <w:rsid w:val="00373767"/>
    <w:rsid w:val="00385EC4"/>
    <w:rsid w:val="00395F15"/>
    <w:rsid w:val="003A18CA"/>
    <w:rsid w:val="003A3AB9"/>
    <w:rsid w:val="003A5676"/>
    <w:rsid w:val="003A7524"/>
    <w:rsid w:val="003B0E83"/>
    <w:rsid w:val="003B3848"/>
    <w:rsid w:val="003D3351"/>
    <w:rsid w:val="003D35CA"/>
    <w:rsid w:val="003D5AD3"/>
    <w:rsid w:val="003D6CFF"/>
    <w:rsid w:val="003D76E3"/>
    <w:rsid w:val="003E1A81"/>
    <w:rsid w:val="003F0AFE"/>
    <w:rsid w:val="003F7D2C"/>
    <w:rsid w:val="003F7DE8"/>
    <w:rsid w:val="00412976"/>
    <w:rsid w:val="00421CBE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87AE1"/>
    <w:rsid w:val="004C4D06"/>
    <w:rsid w:val="004D3E89"/>
    <w:rsid w:val="004D71C9"/>
    <w:rsid w:val="004E268F"/>
    <w:rsid w:val="004E5230"/>
    <w:rsid w:val="004E7734"/>
    <w:rsid w:val="0050000E"/>
    <w:rsid w:val="0052183A"/>
    <w:rsid w:val="00522E29"/>
    <w:rsid w:val="005279A9"/>
    <w:rsid w:val="005301ED"/>
    <w:rsid w:val="00545AF2"/>
    <w:rsid w:val="005631D1"/>
    <w:rsid w:val="00566BF8"/>
    <w:rsid w:val="00577551"/>
    <w:rsid w:val="005B7B67"/>
    <w:rsid w:val="005C6503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15321"/>
    <w:rsid w:val="00721DED"/>
    <w:rsid w:val="00726092"/>
    <w:rsid w:val="00743B8D"/>
    <w:rsid w:val="007607D1"/>
    <w:rsid w:val="00763371"/>
    <w:rsid w:val="00767D8B"/>
    <w:rsid w:val="00770704"/>
    <w:rsid w:val="007822F3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06C"/>
    <w:rsid w:val="007F7D17"/>
    <w:rsid w:val="00806C77"/>
    <w:rsid w:val="0081329E"/>
    <w:rsid w:val="008144EE"/>
    <w:rsid w:val="0082159B"/>
    <w:rsid w:val="00823F66"/>
    <w:rsid w:val="008275CA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3053"/>
    <w:rsid w:val="008E7930"/>
    <w:rsid w:val="008F56AD"/>
    <w:rsid w:val="009059A3"/>
    <w:rsid w:val="00907000"/>
    <w:rsid w:val="009165CA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F2F10"/>
    <w:rsid w:val="009F4AD4"/>
    <w:rsid w:val="009F5191"/>
    <w:rsid w:val="009F64A7"/>
    <w:rsid w:val="00A142C0"/>
    <w:rsid w:val="00A164B7"/>
    <w:rsid w:val="00A2394A"/>
    <w:rsid w:val="00A25334"/>
    <w:rsid w:val="00A26A00"/>
    <w:rsid w:val="00A27C1B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5B98"/>
    <w:rsid w:val="00B20D11"/>
    <w:rsid w:val="00B249E0"/>
    <w:rsid w:val="00B31571"/>
    <w:rsid w:val="00B421EE"/>
    <w:rsid w:val="00B45B51"/>
    <w:rsid w:val="00B535D6"/>
    <w:rsid w:val="00B53C03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34DA6"/>
    <w:rsid w:val="00C4779D"/>
    <w:rsid w:val="00C510CA"/>
    <w:rsid w:val="00C53872"/>
    <w:rsid w:val="00C53F28"/>
    <w:rsid w:val="00C761D2"/>
    <w:rsid w:val="00C84E93"/>
    <w:rsid w:val="00C90D9F"/>
    <w:rsid w:val="00C9782A"/>
    <w:rsid w:val="00C97B4A"/>
    <w:rsid w:val="00CA0DD4"/>
    <w:rsid w:val="00CA365A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0252D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A6088"/>
    <w:rsid w:val="00DB4049"/>
    <w:rsid w:val="00DB4BA6"/>
    <w:rsid w:val="00DD6A0F"/>
    <w:rsid w:val="00DD7049"/>
    <w:rsid w:val="00DF6847"/>
    <w:rsid w:val="00DF6B1F"/>
    <w:rsid w:val="00E0479C"/>
    <w:rsid w:val="00E06EA0"/>
    <w:rsid w:val="00E075A9"/>
    <w:rsid w:val="00E377B6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792C"/>
    <w:rsid w:val="00F73B00"/>
    <w:rsid w:val="00F741AE"/>
    <w:rsid w:val="00F8390E"/>
    <w:rsid w:val="00F84306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C4D06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C4D0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rsid w:val="0012701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270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270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7E9F0-AC11-433A-8631-17998665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4</cp:revision>
  <cp:lastPrinted>2017-01-10T14:43:00Z</cp:lastPrinted>
  <dcterms:created xsi:type="dcterms:W3CDTF">2017-02-22T12:07:00Z</dcterms:created>
  <dcterms:modified xsi:type="dcterms:W3CDTF">2017-02-27T14:35:00Z</dcterms:modified>
</cp:coreProperties>
</file>