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25" w:rsidRDefault="00994E25" w:rsidP="00612C15">
      <w:pPr>
        <w:suppressAutoHyphens/>
        <w:spacing w:afterLines="60"/>
        <w:jc w:val="center"/>
        <w:rPr>
          <w:rFonts w:ascii="Calibri" w:hAnsi="Calibri" w:cs="Arial"/>
          <w:b/>
          <w:lang w:eastAsia="en-US"/>
        </w:rPr>
      </w:pPr>
    </w:p>
    <w:p w:rsidR="000960D2" w:rsidRPr="0084321B" w:rsidRDefault="000960D2" w:rsidP="00612C15">
      <w:pPr>
        <w:suppressAutoHyphens/>
        <w:spacing w:afterLines="60"/>
        <w:jc w:val="center"/>
        <w:rPr>
          <w:rFonts w:ascii="Calibri" w:hAnsi="Calibri" w:cs="Arial"/>
          <w:b/>
          <w:lang w:eastAsia="en-US"/>
        </w:rPr>
      </w:pPr>
      <w:bookmarkStart w:id="0" w:name="_GoBack"/>
      <w:bookmarkEnd w:id="0"/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/>
      </w:tblPr>
      <w:tblGrid>
        <w:gridCol w:w="10456"/>
      </w:tblGrid>
      <w:tr w:rsidR="006E4ED0" w:rsidRPr="006E4ED0" w:rsidTr="006E4ED0">
        <w:trPr>
          <w:cnfStyle w:val="100000000000"/>
          <w:trHeight w:val="506"/>
        </w:trPr>
        <w:tc>
          <w:tcPr>
            <w:cnfStyle w:val="001000000000"/>
            <w:tcW w:w="10456" w:type="dxa"/>
            <w:vAlign w:val="center"/>
          </w:tcPr>
          <w:p w:rsidR="000960D2" w:rsidRPr="0084321B" w:rsidRDefault="000960D2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6E4ED0" w:rsidRPr="006E4ED0" w:rsidTr="006E4ED0">
        <w:trPr>
          <w:cnfStyle w:val="010000000000"/>
          <w:trHeight w:val="3700"/>
        </w:trPr>
        <w:tc>
          <w:tcPr>
            <w:cnfStyle w:val="001000000000"/>
            <w:tcW w:w="10456" w:type="dxa"/>
          </w:tcPr>
          <w:p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="00143A9A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55BF4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 oraz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numer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PESEL,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dla konsumenta będącego obcokrajowcem: imię i nazwisko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, </w:t>
            </w:r>
            <w:r w:rsidR="00355BF4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</w:t>
            </w:r>
            <w:r w:rsidR="00143A9A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oraz datę urodzenia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</w:p>
          <w:p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:rsidR="00D053F2" w:rsidRPr="0084321B" w:rsidRDefault="00D053F2" w:rsidP="00D053F2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 w:rsidR="00CC0F6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</w:t>
            </w:r>
            <w:r w:rsidR="00100B5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20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poz. </w:t>
            </w:r>
            <w:r w:rsidR="00100B5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389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InfoMonitor, bazy Biura Informacji Kredytowej oraz bazy Związku Banków Polskich.</w:t>
            </w:r>
          </w:p>
          <w:p w:rsidR="00427411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będzie uprawniało wyłącznie do złożenia zapytania do bazy BIG InfoMonitor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„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0960D2" w:rsidRDefault="000960D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:rsidR="00D053F2" w:rsidRPr="0084321B" w:rsidRDefault="00D053F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:rsidR="005F567E" w:rsidRPr="0084321B" w:rsidRDefault="005F567E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/>
      </w:tblPr>
      <w:tblGrid>
        <w:gridCol w:w="10456"/>
      </w:tblGrid>
      <w:tr w:rsidR="005F567E" w:rsidRPr="00427411" w:rsidTr="0084321B">
        <w:trPr>
          <w:cnfStyle w:val="100000000000"/>
          <w:trHeight w:val="537"/>
        </w:trPr>
        <w:tc>
          <w:tcPr>
            <w:cnfStyle w:val="001000000000"/>
            <w:tcW w:w="10456" w:type="dxa"/>
            <w:vAlign w:val="center"/>
          </w:tcPr>
          <w:p w:rsidR="005F567E" w:rsidRPr="0084321B" w:rsidRDefault="005F567E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84321B" w:rsidRPr="0084321B" w:rsidTr="0084321B">
        <w:trPr>
          <w:cnfStyle w:val="010000000000"/>
          <w:trHeight w:val="2860"/>
        </w:trPr>
        <w:tc>
          <w:tcPr>
            <w:cnfStyle w:val="001000000000"/>
            <w:tcW w:w="10456" w:type="dxa"/>
          </w:tcPr>
          <w:p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nazwa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NIP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REGON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. </w:t>
            </w:r>
          </w:p>
          <w:p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:rsidR="00D053F2" w:rsidRPr="0084321B" w:rsidRDefault="00D053F2" w:rsidP="00226E78">
            <w:pPr>
              <w:numPr>
                <w:ilvl w:val="0"/>
                <w:numId w:val="42"/>
              </w:numPr>
              <w:suppressAutoHyphens/>
              <w:spacing w:after="60"/>
              <w:ind w:left="425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tj.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Dz.U.2019 poz. 2357 ze zm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.)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 w:rsidR="00862851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 w:rsidR="00862851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przedsiębiorca wykreśli w upoważnieniu wyrażenie 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„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:rsidR="0094383E" w:rsidRDefault="00612C15" w:rsidP="00612C15">
      <w:pPr>
        <w:suppressAutoHyphens/>
        <w:spacing w:after="120"/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</w:t>
      </w:r>
    </w:p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FA" w:rsidRDefault="00A71EFA">
      <w:r>
        <w:separator/>
      </w:r>
    </w:p>
  </w:endnote>
  <w:endnote w:type="continuationSeparator" w:id="1">
    <w:p w:rsidR="00A71EFA" w:rsidRDefault="00A7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FA" w:rsidRDefault="00A71EFA">
      <w:r>
        <w:separator/>
      </w:r>
    </w:p>
  </w:footnote>
  <w:footnote w:type="continuationSeparator" w:id="1">
    <w:p w:rsidR="00A71EFA" w:rsidRDefault="00A71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E679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33A99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32"/>
  </w:num>
  <w:num w:numId="5">
    <w:abstractNumId w:val="43"/>
  </w:num>
  <w:num w:numId="6">
    <w:abstractNumId w:val="19"/>
  </w:num>
  <w:num w:numId="7">
    <w:abstractNumId w:val="40"/>
  </w:num>
  <w:num w:numId="8">
    <w:abstractNumId w:val="35"/>
  </w:num>
  <w:num w:numId="9">
    <w:abstractNumId w:val="23"/>
  </w:num>
  <w:num w:numId="10">
    <w:abstractNumId w:val="45"/>
  </w:num>
  <w:num w:numId="11">
    <w:abstractNumId w:val="12"/>
  </w:num>
  <w:num w:numId="12">
    <w:abstractNumId w:val="37"/>
  </w:num>
  <w:num w:numId="13">
    <w:abstractNumId w:val="10"/>
  </w:num>
  <w:num w:numId="14">
    <w:abstractNumId w:val="38"/>
  </w:num>
  <w:num w:numId="15">
    <w:abstractNumId w:val="22"/>
  </w:num>
  <w:num w:numId="16">
    <w:abstractNumId w:val="16"/>
  </w:num>
  <w:num w:numId="17">
    <w:abstractNumId w:val="18"/>
  </w:num>
  <w:num w:numId="18">
    <w:abstractNumId w:val="11"/>
  </w:num>
  <w:num w:numId="19">
    <w:abstractNumId w:val="25"/>
  </w:num>
  <w:num w:numId="20">
    <w:abstractNumId w:val="42"/>
  </w:num>
  <w:num w:numId="21">
    <w:abstractNumId w:val="39"/>
  </w:num>
  <w:num w:numId="22">
    <w:abstractNumId w:val="31"/>
  </w:num>
  <w:num w:numId="23">
    <w:abstractNumId w:val="47"/>
  </w:num>
  <w:num w:numId="24">
    <w:abstractNumId w:val="29"/>
  </w:num>
  <w:num w:numId="25">
    <w:abstractNumId w:val="27"/>
  </w:num>
  <w:num w:numId="26">
    <w:abstractNumId w:val="41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6"/>
  </w:num>
  <w:num w:numId="39">
    <w:abstractNumId w:val="2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4"/>
  </w:num>
  <w:num w:numId="43">
    <w:abstractNumId w:val="33"/>
  </w:num>
  <w:num w:numId="44">
    <w:abstractNumId w:val="46"/>
  </w:num>
  <w:num w:numId="45">
    <w:abstractNumId w:val="14"/>
  </w:num>
  <w:num w:numId="46">
    <w:abstractNumId w:val="20"/>
  </w:num>
  <w:num w:numId="47">
    <w:abstractNumId w:val="34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4338">
      <o:colormru v:ext="edit" colors="#00559b,#d1d8ee"/>
    </o:shapedefaults>
  </w:hdrShapeDefaults>
  <w:footnotePr>
    <w:footnote w:id="0"/>
    <w:footnote w:id="1"/>
  </w:footnotePr>
  <w:endnotePr>
    <w:endnote w:id="0"/>
    <w:endnote w:id="1"/>
  </w:endnotePr>
  <w:compat/>
  <w:rsids>
    <w:rsidRoot w:val="00054215"/>
    <w:rsid w:val="0000583C"/>
    <w:rsid w:val="00011B84"/>
    <w:rsid w:val="00014493"/>
    <w:rsid w:val="000171D7"/>
    <w:rsid w:val="00023253"/>
    <w:rsid w:val="00024814"/>
    <w:rsid w:val="00041126"/>
    <w:rsid w:val="00042CFB"/>
    <w:rsid w:val="00046C14"/>
    <w:rsid w:val="00053F8D"/>
    <w:rsid w:val="00054215"/>
    <w:rsid w:val="000740CD"/>
    <w:rsid w:val="00076D8B"/>
    <w:rsid w:val="00082F1C"/>
    <w:rsid w:val="000836C1"/>
    <w:rsid w:val="00085933"/>
    <w:rsid w:val="00087D4D"/>
    <w:rsid w:val="000948E3"/>
    <w:rsid w:val="000960D2"/>
    <w:rsid w:val="000A6FBB"/>
    <w:rsid w:val="000A6FC3"/>
    <w:rsid w:val="000B4499"/>
    <w:rsid w:val="000B73C3"/>
    <w:rsid w:val="000C06B7"/>
    <w:rsid w:val="000C6A23"/>
    <w:rsid w:val="000D4DFD"/>
    <w:rsid w:val="000D6D72"/>
    <w:rsid w:val="000E153F"/>
    <w:rsid w:val="000E508A"/>
    <w:rsid w:val="000F3401"/>
    <w:rsid w:val="00100B50"/>
    <w:rsid w:val="00101FF1"/>
    <w:rsid w:val="00105D89"/>
    <w:rsid w:val="00107A32"/>
    <w:rsid w:val="001140BA"/>
    <w:rsid w:val="001211D5"/>
    <w:rsid w:val="00140CEE"/>
    <w:rsid w:val="00143A9A"/>
    <w:rsid w:val="00155EBE"/>
    <w:rsid w:val="001615A8"/>
    <w:rsid w:val="00166A4A"/>
    <w:rsid w:val="00173178"/>
    <w:rsid w:val="00184B54"/>
    <w:rsid w:val="00193A3F"/>
    <w:rsid w:val="001A1AB7"/>
    <w:rsid w:val="001A5257"/>
    <w:rsid w:val="001A5EC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201D04"/>
    <w:rsid w:val="00204B6D"/>
    <w:rsid w:val="00215EFE"/>
    <w:rsid w:val="002170D8"/>
    <w:rsid w:val="00226E78"/>
    <w:rsid w:val="002329C8"/>
    <w:rsid w:val="00235523"/>
    <w:rsid w:val="002414C2"/>
    <w:rsid w:val="00251BEF"/>
    <w:rsid w:val="0027408A"/>
    <w:rsid w:val="00282EE9"/>
    <w:rsid w:val="00291700"/>
    <w:rsid w:val="00294313"/>
    <w:rsid w:val="002945E2"/>
    <w:rsid w:val="00294DE8"/>
    <w:rsid w:val="00297078"/>
    <w:rsid w:val="002B4C06"/>
    <w:rsid w:val="002B6EDA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2FBA"/>
    <w:rsid w:val="00355BF4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21B1"/>
    <w:rsid w:val="004226D4"/>
    <w:rsid w:val="004260CB"/>
    <w:rsid w:val="00427411"/>
    <w:rsid w:val="0043473E"/>
    <w:rsid w:val="004351FB"/>
    <w:rsid w:val="00436F20"/>
    <w:rsid w:val="00443898"/>
    <w:rsid w:val="00445850"/>
    <w:rsid w:val="00451505"/>
    <w:rsid w:val="0047170E"/>
    <w:rsid w:val="004722CF"/>
    <w:rsid w:val="00480B4D"/>
    <w:rsid w:val="00480EA1"/>
    <w:rsid w:val="00484CB2"/>
    <w:rsid w:val="00487D76"/>
    <w:rsid w:val="00490D44"/>
    <w:rsid w:val="00491143"/>
    <w:rsid w:val="00497CCC"/>
    <w:rsid w:val="004A4A26"/>
    <w:rsid w:val="004A4A84"/>
    <w:rsid w:val="004B0729"/>
    <w:rsid w:val="004B17E0"/>
    <w:rsid w:val="004C67D8"/>
    <w:rsid w:val="004E2756"/>
    <w:rsid w:val="004E3B2B"/>
    <w:rsid w:val="004F2438"/>
    <w:rsid w:val="004F35D0"/>
    <w:rsid w:val="00531BC8"/>
    <w:rsid w:val="0053559B"/>
    <w:rsid w:val="00536F18"/>
    <w:rsid w:val="00540297"/>
    <w:rsid w:val="00540CD6"/>
    <w:rsid w:val="00551B44"/>
    <w:rsid w:val="0055602D"/>
    <w:rsid w:val="005604FB"/>
    <w:rsid w:val="0056509D"/>
    <w:rsid w:val="0057585F"/>
    <w:rsid w:val="00583154"/>
    <w:rsid w:val="005855E9"/>
    <w:rsid w:val="00587A00"/>
    <w:rsid w:val="00592E64"/>
    <w:rsid w:val="0059468A"/>
    <w:rsid w:val="005A015E"/>
    <w:rsid w:val="005C4D7B"/>
    <w:rsid w:val="005C5054"/>
    <w:rsid w:val="005C6D28"/>
    <w:rsid w:val="005D3103"/>
    <w:rsid w:val="005E1432"/>
    <w:rsid w:val="005E6AA6"/>
    <w:rsid w:val="005F1CD7"/>
    <w:rsid w:val="005F567E"/>
    <w:rsid w:val="00604CE2"/>
    <w:rsid w:val="00612C15"/>
    <w:rsid w:val="00620584"/>
    <w:rsid w:val="006239FF"/>
    <w:rsid w:val="00633F24"/>
    <w:rsid w:val="00640068"/>
    <w:rsid w:val="006458D4"/>
    <w:rsid w:val="006479B7"/>
    <w:rsid w:val="00651DFC"/>
    <w:rsid w:val="00656956"/>
    <w:rsid w:val="00656F3E"/>
    <w:rsid w:val="00666582"/>
    <w:rsid w:val="0067154D"/>
    <w:rsid w:val="0067180A"/>
    <w:rsid w:val="00671DE8"/>
    <w:rsid w:val="00673A07"/>
    <w:rsid w:val="0067621D"/>
    <w:rsid w:val="00681240"/>
    <w:rsid w:val="006855F3"/>
    <w:rsid w:val="006906AF"/>
    <w:rsid w:val="00690852"/>
    <w:rsid w:val="00692985"/>
    <w:rsid w:val="00697ADC"/>
    <w:rsid w:val="006A5D99"/>
    <w:rsid w:val="006B6D1B"/>
    <w:rsid w:val="006C2A01"/>
    <w:rsid w:val="006C7D07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165C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B561B"/>
    <w:rsid w:val="007C26F8"/>
    <w:rsid w:val="007C5C55"/>
    <w:rsid w:val="007C7EF3"/>
    <w:rsid w:val="007D3D1A"/>
    <w:rsid w:val="007D4C67"/>
    <w:rsid w:val="007D77D9"/>
    <w:rsid w:val="007E7AC7"/>
    <w:rsid w:val="0080627F"/>
    <w:rsid w:val="00811D54"/>
    <w:rsid w:val="00813C05"/>
    <w:rsid w:val="008144B3"/>
    <w:rsid w:val="00820F9D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424C"/>
    <w:rsid w:val="008F556A"/>
    <w:rsid w:val="009001C3"/>
    <w:rsid w:val="00900511"/>
    <w:rsid w:val="009010BD"/>
    <w:rsid w:val="00907BAB"/>
    <w:rsid w:val="00910236"/>
    <w:rsid w:val="00916B5D"/>
    <w:rsid w:val="009405A6"/>
    <w:rsid w:val="00941040"/>
    <w:rsid w:val="0094383E"/>
    <w:rsid w:val="00947176"/>
    <w:rsid w:val="009519C9"/>
    <w:rsid w:val="00951F9B"/>
    <w:rsid w:val="00952CA7"/>
    <w:rsid w:val="00954F1F"/>
    <w:rsid w:val="009642DC"/>
    <w:rsid w:val="0096703C"/>
    <w:rsid w:val="009670DC"/>
    <w:rsid w:val="009710D2"/>
    <w:rsid w:val="0097299F"/>
    <w:rsid w:val="00981D4D"/>
    <w:rsid w:val="009837A4"/>
    <w:rsid w:val="00985697"/>
    <w:rsid w:val="0099258E"/>
    <w:rsid w:val="0099436E"/>
    <w:rsid w:val="00994E25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1765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19AA"/>
    <w:rsid w:val="00A552F4"/>
    <w:rsid w:val="00A620FE"/>
    <w:rsid w:val="00A71EFA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AF6000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52341"/>
    <w:rsid w:val="00B62662"/>
    <w:rsid w:val="00B649B3"/>
    <w:rsid w:val="00B71E06"/>
    <w:rsid w:val="00B74EB7"/>
    <w:rsid w:val="00B82F60"/>
    <w:rsid w:val="00B832CF"/>
    <w:rsid w:val="00B97B17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0324"/>
    <w:rsid w:val="00CD6046"/>
    <w:rsid w:val="00CE3A5E"/>
    <w:rsid w:val="00CE6211"/>
    <w:rsid w:val="00CF0645"/>
    <w:rsid w:val="00D00C63"/>
    <w:rsid w:val="00D00D62"/>
    <w:rsid w:val="00D02488"/>
    <w:rsid w:val="00D053F2"/>
    <w:rsid w:val="00D1383E"/>
    <w:rsid w:val="00D20FF6"/>
    <w:rsid w:val="00D21756"/>
    <w:rsid w:val="00D25D5A"/>
    <w:rsid w:val="00D3378F"/>
    <w:rsid w:val="00D40809"/>
    <w:rsid w:val="00D44494"/>
    <w:rsid w:val="00D46952"/>
    <w:rsid w:val="00D6494F"/>
    <w:rsid w:val="00D70E2E"/>
    <w:rsid w:val="00D820EA"/>
    <w:rsid w:val="00D83765"/>
    <w:rsid w:val="00D943ED"/>
    <w:rsid w:val="00DA2561"/>
    <w:rsid w:val="00DA39B0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27F46"/>
    <w:rsid w:val="00E34A6F"/>
    <w:rsid w:val="00E355B7"/>
    <w:rsid w:val="00E35DD7"/>
    <w:rsid w:val="00E4292F"/>
    <w:rsid w:val="00E56273"/>
    <w:rsid w:val="00E5693F"/>
    <w:rsid w:val="00E571AB"/>
    <w:rsid w:val="00E604BE"/>
    <w:rsid w:val="00E62035"/>
    <w:rsid w:val="00E6740E"/>
    <w:rsid w:val="00E8526B"/>
    <w:rsid w:val="00E86A4C"/>
    <w:rsid w:val="00EA71E8"/>
    <w:rsid w:val="00EB2049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86888"/>
    <w:rsid w:val="00F875B2"/>
    <w:rsid w:val="00FA0751"/>
    <w:rsid w:val="00FA224D"/>
    <w:rsid w:val="00FB11C2"/>
    <w:rsid w:val="00FB4E28"/>
    <w:rsid w:val="00FC0909"/>
    <w:rsid w:val="00FD035D"/>
    <w:rsid w:val="00FD19B6"/>
    <w:rsid w:val="00FF1F30"/>
    <w:rsid w:val="00FF31CD"/>
    <w:rsid w:val="00FF6F7F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DA39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23A25A-1B14-4033-A2B3-20D90A0A18D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79D5AA69-4216-475F-9821-FBF84BA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Basia Rusiłowicz</cp:lastModifiedBy>
  <cp:revision>8</cp:revision>
  <cp:lastPrinted>2018-03-09T09:15:00Z</cp:lastPrinted>
  <dcterms:created xsi:type="dcterms:W3CDTF">2020-03-31T12:35:00Z</dcterms:created>
  <dcterms:modified xsi:type="dcterms:W3CDTF">2021-12-17T07:58:00Z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